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7737" w:rsidR="00EC72B8" w:rsidP="00AD6F5E" w:rsidRDefault="009433A5" w14:paraId="47C82A16" w14:textId="054093A1">
      <w:pPr>
        <w:jc w:val="both"/>
        <w:rPr>
          <w:rFonts w:ascii="Arial" w:hAnsi="Arial" w:cs="Arial"/>
          <w:b/>
          <w:bCs/>
          <w:lang w:val="et-EE"/>
        </w:rPr>
      </w:pPr>
      <w:r w:rsidRPr="00A77737">
        <w:rPr>
          <w:rFonts w:ascii="Arial" w:hAnsi="Arial" w:cs="Arial"/>
          <w:b/>
          <w:bCs/>
          <w:lang w:val="et-EE"/>
        </w:rPr>
        <w:t xml:space="preserve">Vorm </w:t>
      </w:r>
      <w:r w:rsidRPr="00A77737" w:rsidR="00051BAF">
        <w:rPr>
          <w:rFonts w:ascii="Arial" w:hAnsi="Arial" w:cs="Arial"/>
          <w:b/>
          <w:bCs/>
          <w:lang w:val="et-EE"/>
        </w:rPr>
        <w:t>2</w:t>
      </w:r>
      <w:r w:rsidRPr="00A77737">
        <w:rPr>
          <w:rFonts w:ascii="Arial" w:hAnsi="Arial" w:cs="Arial"/>
          <w:b/>
          <w:bCs/>
          <w:lang w:val="et-EE"/>
        </w:rPr>
        <w:t xml:space="preserve">. </w:t>
      </w:r>
      <w:r w:rsidRPr="00A77737" w:rsidR="00F5722A">
        <w:rPr>
          <w:rFonts w:ascii="Arial" w:hAnsi="Arial" w:cs="Arial"/>
          <w:b/>
          <w:bCs/>
          <w:lang w:val="et-EE"/>
        </w:rPr>
        <w:t>Küberturvalisus ja andmeturve</w:t>
      </w:r>
    </w:p>
    <w:p w:rsidRPr="00AD6F5E" w:rsidR="00FB6FC3" w:rsidP="00AD6F5E" w:rsidRDefault="00FB6FC3" w14:paraId="7810BB7F" w14:textId="116B7133">
      <w:pPr>
        <w:jc w:val="both"/>
        <w:rPr>
          <w:rFonts w:ascii="Arial" w:hAnsi="Arial" w:cs="Arial"/>
          <w:b/>
          <w:bCs/>
          <w:lang w:val="et-EE"/>
        </w:rPr>
      </w:pPr>
      <w:r w:rsidRPr="00A77737">
        <w:rPr>
          <w:rFonts w:ascii="Arial" w:hAnsi="Arial" w:cs="Arial"/>
          <w:b/>
          <w:bCs/>
          <w:lang w:val="et-EE"/>
        </w:rPr>
        <w:t xml:space="preserve">Palun </w:t>
      </w:r>
      <w:r w:rsidRPr="00A77737" w:rsidR="00331E7A">
        <w:rPr>
          <w:rFonts w:ascii="Arial" w:hAnsi="Arial" w:cs="Arial"/>
          <w:b/>
          <w:bCs/>
          <w:lang w:val="et-EE"/>
        </w:rPr>
        <w:t xml:space="preserve">valida kollasel taustal kohalduv vastus ja täita infoga ning </w:t>
      </w:r>
      <w:r w:rsidRPr="00AD6F5E">
        <w:rPr>
          <w:rFonts w:ascii="Arial" w:hAnsi="Arial" w:cs="Arial"/>
          <w:b/>
          <w:bCs/>
          <w:lang w:val="et-EE"/>
        </w:rPr>
        <w:t>allkirjastada Vorm 2</w:t>
      </w:r>
      <w:r w:rsidRPr="00AD6F5E" w:rsidR="00424D4C">
        <w:rPr>
          <w:rFonts w:ascii="Arial" w:hAnsi="Arial" w:cs="Arial"/>
          <w:b/>
          <w:bCs/>
          <w:lang w:val="et-EE"/>
        </w:rPr>
        <w:t xml:space="preserve"> </w:t>
      </w:r>
      <w:r w:rsidRPr="00AD6F5E">
        <w:rPr>
          <w:rFonts w:ascii="Arial" w:hAnsi="Arial" w:cs="Arial"/>
          <w:b/>
          <w:bCs/>
          <w:lang w:val="et-EE"/>
        </w:rPr>
        <w:t>koos pakkumise vormiga.</w:t>
      </w:r>
    </w:p>
    <w:p w:rsidRPr="00AD6F5E" w:rsidR="009433A5" w:rsidP="739B7B40" w:rsidRDefault="00D007A5" w14:paraId="5B53B323" w14:textId="407FB131">
      <w:pPr>
        <w:jc w:val="both"/>
        <w:rPr>
          <w:rFonts w:ascii="Arial" w:hAnsi="Arial" w:cs="Arial"/>
          <w:b w:val="1"/>
          <w:bCs w:val="1"/>
          <w:lang w:val="en-US"/>
        </w:rPr>
      </w:pPr>
      <w:r w:rsidRPr="739B7B40" w:rsidR="00D007A5">
        <w:rPr>
          <w:rFonts w:ascii="Arial" w:hAnsi="Arial" w:cs="Arial"/>
          <w:b w:val="1"/>
          <w:bCs w:val="1"/>
          <w:lang w:val="en-US"/>
        </w:rPr>
        <w:t xml:space="preserve">Pakkuja nimi: </w:t>
      </w:r>
      <w:r w:rsidRPr="739B7B40" w:rsidR="00D007A5">
        <w:rPr>
          <w:rFonts w:ascii="Arial" w:hAnsi="Arial" w:cs="Arial"/>
          <w:highlight w:val="yellow"/>
          <w:lang w:val="en-US"/>
        </w:rPr>
        <w:t>…</w:t>
      </w:r>
      <w:r w:rsidRPr="739B7B40" w:rsidR="005D5B5E">
        <w:rPr>
          <w:rFonts w:ascii="Arial" w:hAnsi="Arial" w:cs="Arial"/>
          <w:highlight w:val="yellow"/>
          <w:lang w:val="en-US"/>
        </w:rPr>
        <w:t>..</w:t>
      </w:r>
    </w:p>
    <w:p w:rsidRPr="00A77737" w:rsidR="00D007A5" w:rsidP="00AD6F5E" w:rsidRDefault="00D007A5" w14:paraId="13E89589" w14:textId="77777777">
      <w:pPr>
        <w:jc w:val="both"/>
        <w:rPr>
          <w:rFonts w:ascii="Arial" w:hAnsi="Arial" w:cs="Arial"/>
          <w:b/>
          <w:bCs/>
          <w:lang w:val="et-EE"/>
        </w:rPr>
      </w:pPr>
    </w:p>
    <w:p w:rsidRPr="00AD6F5E" w:rsidR="000321B8" w:rsidP="00AD6F5E" w:rsidRDefault="007A74C9" w14:paraId="6B4162E2" w14:textId="7BA0CE94">
      <w:pPr>
        <w:pStyle w:val="ListParagraph"/>
        <w:numPr>
          <w:ilvl w:val="0"/>
          <w:numId w:val="3"/>
        </w:numPr>
        <w:contextualSpacing w:val="0"/>
        <w:jc w:val="both"/>
        <w:rPr>
          <w:rFonts w:ascii="Arial" w:hAnsi="Arial" w:cs="Arial"/>
          <w:lang w:val="et-EE"/>
        </w:rPr>
      </w:pPr>
      <w:r w:rsidRPr="00AD6F5E">
        <w:rPr>
          <w:rFonts w:ascii="Arial" w:hAnsi="Arial" w:cs="Arial"/>
          <w:lang w:val="et-EE"/>
        </w:rPr>
        <w:t xml:space="preserve">Pakkuja kinnitab, </w:t>
      </w:r>
      <w:r w:rsidRPr="00AD6F5E" w:rsidR="00ED77F2">
        <w:rPr>
          <w:rFonts w:ascii="Arial" w:hAnsi="Arial" w:cs="Arial"/>
          <w:lang w:val="et-EE"/>
        </w:rPr>
        <w:t xml:space="preserve">et </w:t>
      </w:r>
      <w:r w:rsidRPr="00AD6F5E" w:rsidR="00F5722A">
        <w:rPr>
          <w:rFonts w:ascii="Arial" w:hAnsi="Arial" w:cs="Arial"/>
          <w:lang w:val="et-EE"/>
        </w:rPr>
        <w:t xml:space="preserve">projekti suhtes rakendatakse </w:t>
      </w:r>
      <w:hyperlink w:history="1" r:id="rId11">
        <w:r w:rsidRPr="00AD6F5E" w:rsidR="00906592">
          <w:rPr>
            <w:rStyle w:val="Hyperlink"/>
            <w:rFonts w:ascii="Arial" w:hAnsi="Arial" w:cs="Arial"/>
            <w:lang w:val="et-EE"/>
          </w:rPr>
          <w:t>Komisjoni rakendusmääruse (EL) 2025/1176</w:t>
        </w:r>
      </w:hyperlink>
      <w:r w:rsidRPr="00AD6F5E" w:rsidR="00906592">
        <w:rPr>
          <w:rFonts w:ascii="Arial" w:hAnsi="Arial" w:cs="Arial"/>
          <w:lang w:val="et-EE"/>
        </w:rPr>
        <w:t>, millega määratakse kindlaks taastuvatest energiaallikatest toodetud energia kasutuselevõtu võistupakkumiste korral rakendatavad eelkvalifitseerimis- ja hindamiskriteeriumid</w:t>
      </w:r>
      <w:r w:rsidRPr="00AD6F5E" w:rsidR="00C37CA1">
        <w:rPr>
          <w:rFonts w:ascii="Arial" w:hAnsi="Arial" w:cs="Arial"/>
          <w:lang w:val="et-EE"/>
        </w:rPr>
        <w:t>,</w:t>
      </w:r>
      <w:r w:rsidRPr="00AD6F5E" w:rsidR="00906592">
        <w:rPr>
          <w:rFonts w:ascii="Arial" w:hAnsi="Arial" w:cs="Arial"/>
          <w:lang w:val="et-EE"/>
        </w:rPr>
        <w:t xml:space="preserve"> </w:t>
      </w:r>
      <w:r w:rsidRPr="00AD6F5E" w:rsidR="00F5722A">
        <w:rPr>
          <w:rFonts w:ascii="Arial" w:hAnsi="Arial" w:cs="Arial"/>
          <w:lang w:val="et-EE"/>
        </w:rPr>
        <w:t>art 5(a), (c) ja (d) nõudeid</w:t>
      </w:r>
      <w:r w:rsidRPr="00AD6F5E" w:rsidR="00021182">
        <w:rPr>
          <w:rFonts w:ascii="Arial" w:hAnsi="Arial" w:cs="Arial"/>
          <w:lang w:val="et-EE"/>
        </w:rPr>
        <w:t>.</w:t>
      </w:r>
      <w:r w:rsidRPr="00AD6F5E" w:rsidR="003A1E7D">
        <w:rPr>
          <w:rFonts w:ascii="Arial" w:hAnsi="Arial" w:cs="Arial"/>
          <w:lang w:val="et-EE"/>
        </w:rPr>
        <w:t xml:space="preserve"> </w:t>
      </w:r>
      <w:r w:rsidRPr="00AD6F5E" w:rsidR="00021182">
        <w:rPr>
          <w:rFonts w:ascii="Arial" w:hAnsi="Arial" w:cs="Arial"/>
          <w:lang w:val="et-EE"/>
        </w:rPr>
        <w:t>T</w:t>
      </w:r>
      <w:r w:rsidRPr="00AD6F5E" w:rsidR="00F5722A">
        <w:rPr>
          <w:rFonts w:ascii="Arial" w:hAnsi="Arial" w:cs="Arial"/>
          <w:lang w:val="et-EE"/>
        </w:rPr>
        <w:t>oetav tõend on ISO/IEC 27001 sertifikaat, mis on otseselt seotud või hõlmab projekti põhilisi plaanitavaid</w:t>
      </w:r>
      <w:r w:rsidRPr="00AD6F5E" w:rsidR="00A42685">
        <w:rPr>
          <w:lang w:val="et-EE"/>
        </w:rPr>
        <w:t xml:space="preserve"> </w:t>
      </w:r>
      <w:r w:rsidRPr="00AD6F5E" w:rsidR="00A42685">
        <w:rPr>
          <w:rFonts w:ascii="Arial" w:hAnsi="Arial" w:cs="Arial"/>
          <w:lang w:val="et-EE"/>
        </w:rPr>
        <w:t>info- ja kommunikatsioonitehnoloogiate</w:t>
      </w:r>
      <w:r w:rsidRPr="00AD6F5E" w:rsidR="00F5722A">
        <w:rPr>
          <w:rFonts w:ascii="Arial" w:hAnsi="Arial" w:cs="Arial"/>
          <w:lang w:val="et-EE"/>
        </w:rPr>
        <w:t xml:space="preserve"> </w:t>
      </w:r>
      <w:r w:rsidRPr="00AD6F5E" w:rsidR="00A42685">
        <w:rPr>
          <w:rFonts w:ascii="Arial" w:hAnsi="Arial" w:cs="Arial"/>
          <w:lang w:val="et-EE"/>
        </w:rPr>
        <w:t xml:space="preserve">(edaspidi </w:t>
      </w:r>
      <w:r w:rsidRPr="00AD6F5E" w:rsidR="00F5722A">
        <w:rPr>
          <w:rFonts w:ascii="Arial" w:hAnsi="Arial" w:cs="Arial"/>
          <w:lang w:val="et-EE"/>
        </w:rPr>
        <w:t>IKT</w:t>
      </w:r>
      <w:r w:rsidRPr="00AD6F5E" w:rsidR="00A42685">
        <w:rPr>
          <w:rFonts w:ascii="Arial" w:hAnsi="Arial" w:cs="Arial"/>
          <w:lang w:val="et-EE"/>
        </w:rPr>
        <w:t>)</w:t>
      </w:r>
      <w:r w:rsidRPr="00AD6F5E" w:rsidR="00F5722A">
        <w:rPr>
          <w:rFonts w:ascii="Arial" w:hAnsi="Arial" w:cs="Arial"/>
          <w:lang w:val="et-EE"/>
        </w:rPr>
        <w:t xml:space="preserve"> tehnilisi ja korralduslike tegevusi, Eesti infoturbe standardi</w:t>
      </w:r>
      <w:r w:rsidRPr="00AD6F5E" w:rsidR="0009063D">
        <w:rPr>
          <w:rFonts w:ascii="Arial" w:hAnsi="Arial" w:cs="Arial"/>
          <w:lang w:val="et-EE"/>
        </w:rPr>
        <w:t xml:space="preserve"> </w:t>
      </w:r>
      <w:r w:rsidRPr="00AD6F5E" w:rsidR="00F5722A">
        <w:rPr>
          <w:rFonts w:ascii="Arial" w:hAnsi="Arial" w:cs="Arial"/>
          <w:lang w:val="et-EE"/>
        </w:rPr>
        <w:t>või muu</w:t>
      </w:r>
      <w:r w:rsidRPr="00AD6F5E" w:rsidR="0009063D">
        <w:rPr>
          <w:rFonts w:ascii="Arial" w:hAnsi="Arial" w:cs="Arial"/>
          <w:lang w:val="et-EE"/>
        </w:rPr>
        <w:t xml:space="preserve"> </w:t>
      </w:r>
      <w:r w:rsidRPr="00AD6F5E" w:rsidR="00F5722A">
        <w:rPr>
          <w:rFonts w:ascii="Arial" w:hAnsi="Arial" w:cs="Arial"/>
          <w:lang w:val="et-EE"/>
        </w:rPr>
        <w:t>samalaadse raamistiku nõuetele vastava auditi järeldusotsus, kuid need ei asenda automaatselt kõiki rakendusmääruse art 5 nõudeid.</w:t>
      </w:r>
    </w:p>
    <w:p w:rsidRPr="00A77737" w:rsidR="00806F20" w:rsidP="00AD6F5E" w:rsidRDefault="00806F20" w14:paraId="41F1EF3C" w14:textId="1AEEDC00">
      <w:pPr>
        <w:pStyle w:val="ListParagraph"/>
        <w:numPr>
          <w:ilvl w:val="0"/>
          <w:numId w:val="3"/>
        </w:numPr>
        <w:contextualSpacing w:val="0"/>
        <w:jc w:val="both"/>
        <w:rPr>
          <w:rFonts w:ascii="Arial" w:hAnsi="Arial" w:cs="Arial"/>
          <w:lang w:val="et-EE"/>
        </w:rPr>
      </w:pPr>
      <w:r w:rsidRPr="00A77737">
        <w:rPr>
          <w:rFonts w:ascii="Arial" w:hAnsi="Arial" w:cs="Arial"/>
          <w:lang w:val="et-EE"/>
        </w:rPr>
        <w:t xml:space="preserve">Pakkuja kinnitab, et </w:t>
      </w:r>
      <w:r w:rsidRPr="00AD6F5E" w:rsidR="00B145DD">
        <w:rPr>
          <w:rFonts w:ascii="Arial" w:hAnsi="Arial" w:cs="Arial"/>
          <w:b/>
          <w:bCs/>
          <w:lang w:val="et-EE"/>
        </w:rPr>
        <w:t>pakkumisele on lisatud</w:t>
      </w:r>
      <w:r w:rsidRPr="00AD6F5E">
        <w:rPr>
          <w:rFonts w:ascii="Arial" w:hAnsi="Arial" w:cs="Arial"/>
          <w:b/>
          <w:bCs/>
          <w:lang w:val="et-EE"/>
        </w:rPr>
        <w:t xml:space="preserve"> esialg</w:t>
      </w:r>
      <w:r w:rsidRPr="00AD6F5E" w:rsidR="001D13A9">
        <w:rPr>
          <w:rFonts w:ascii="Arial" w:hAnsi="Arial" w:cs="Arial"/>
          <w:b/>
          <w:bCs/>
          <w:lang w:val="et-EE"/>
        </w:rPr>
        <w:t>n</w:t>
      </w:r>
      <w:r w:rsidRPr="00AD6F5E">
        <w:rPr>
          <w:rFonts w:ascii="Arial" w:hAnsi="Arial" w:cs="Arial"/>
          <w:b/>
          <w:bCs/>
          <w:lang w:val="et-EE"/>
        </w:rPr>
        <w:t>e kübertu</w:t>
      </w:r>
      <w:r w:rsidRPr="00AD6F5E" w:rsidR="0022309B">
        <w:rPr>
          <w:rFonts w:ascii="Arial" w:hAnsi="Arial" w:cs="Arial"/>
          <w:b/>
          <w:bCs/>
          <w:lang w:val="et-EE"/>
        </w:rPr>
        <w:t>rvalisuse kava</w:t>
      </w:r>
      <w:r w:rsidRPr="00A77737" w:rsidR="0022309B">
        <w:rPr>
          <w:rFonts w:ascii="Arial" w:hAnsi="Arial" w:cs="Arial"/>
          <w:lang w:val="et-EE"/>
        </w:rPr>
        <w:t xml:space="preserve">, mis sisaldab </w:t>
      </w:r>
      <w:r w:rsidRPr="00A77737" w:rsidR="003C2014">
        <w:rPr>
          <w:rFonts w:ascii="Arial" w:hAnsi="Arial" w:cs="Arial"/>
          <w:lang w:val="et-EE"/>
        </w:rPr>
        <w:t xml:space="preserve">minimaalselt: </w:t>
      </w:r>
    </w:p>
    <w:p w:rsidRPr="00A77737" w:rsidR="001410E5" w:rsidP="00AD6F5E" w:rsidRDefault="001410E5" w14:paraId="7F8B2BFC" w14:textId="47F30804">
      <w:pPr>
        <w:pStyle w:val="ListParagraph"/>
        <w:numPr>
          <w:ilvl w:val="1"/>
          <w:numId w:val="3"/>
        </w:numPr>
        <w:jc w:val="both"/>
        <w:rPr>
          <w:rFonts w:ascii="Arial" w:hAnsi="Arial" w:cs="Arial"/>
          <w:lang w:val="et-EE"/>
        </w:rPr>
      </w:pPr>
      <w:r w:rsidRPr="00A77737">
        <w:rPr>
          <w:rFonts w:ascii="Arial" w:hAnsi="Arial" w:cs="Arial"/>
          <w:lang w:val="et-EE"/>
        </w:rPr>
        <w:t xml:space="preserve">põhiliste plaanitavate tehniliste, tegevuslike ja korralduslike meetmete kirjeldust; </w:t>
      </w:r>
    </w:p>
    <w:p w:rsidRPr="00A77737" w:rsidR="001410E5" w:rsidP="00AD6F5E" w:rsidRDefault="001410E5" w14:paraId="192367D9" w14:textId="00AB5546">
      <w:pPr>
        <w:pStyle w:val="ListParagraph"/>
        <w:numPr>
          <w:ilvl w:val="1"/>
          <w:numId w:val="3"/>
        </w:numPr>
        <w:jc w:val="both"/>
        <w:rPr>
          <w:rFonts w:ascii="Arial" w:hAnsi="Arial" w:cs="Arial"/>
          <w:lang w:val="et-EE"/>
        </w:rPr>
      </w:pPr>
      <w:r w:rsidRPr="00A77737">
        <w:rPr>
          <w:rFonts w:ascii="Arial" w:hAnsi="Arial" w:cs="Arial"/>
          <w:lang w:val="et-EE"/>
        </w:rPr>
        <w:t xml:space="preserve">selgitust, kuidas on arvestatud </w:t>
      </w:r>
      <w:proofErr w:type="spellStart"/>
      <w:r w:rsidRPr="00A77737">
        <w:rPr>
          <w:rFonts w:ascii="Arial" w:hAnsi="Arial" w:cs="Arial"/>
          <w:lang w:val="et-EE"/>
        </w:rPr>
        <w:t>sisseprojekteeritud</w:t>
      </w:r>
      <w:proofErr w:type="spellEnd"/>
      <w:r w:rsidRPr="00A77737">
        <w:rPr>
          <w:rFonts w:ascii="Arial" w:hAnsi="Arial" w:cs="Arial"/>
          <w:lang w:val="et-EE"/>
        </w:rPr>
        <w:t xml:space="preserve"> turbe ja </w:t>
      </w:r>
      <w:proofErr w:type="spellStart"/>
      <w:r w:rsidRPr="00A77737">
        <w:rPr>
          <w:rFonts w:ascii="Arial" w:hAnsi="Arial" w:cs="Arial"/>
          <w:lang w:val="et-EE"/>
        </w:rPr>
        <w:t>vaiketurbe</w:t>
      </w:r>
      <w:proofErr w:type="spellEnd"/>
      <w:r w:rsidRPr="00A77737">
        <w:rPr>
          <w:rFonts w:ascii="Arial" w:hAnsi="Arial" w:cs="Arial"/>
          <w:lang w:val="et-EE"/>
        </w:rPr>
        <w:t xml:space="preserve"> põhimõtteid; </w:t>
      </w:r>
    </w:p>
    <w:p w:rsidRPr="00A77737" w:rsidR="001410E5" w:rsidP="00AD6F5E" w:rsidRDefault="001410E5" w14:paraId="7E53A8B3" w14:textId="6AF97FDE">
      <w:pPr>
        <w:pStyle w:val="ListParagraph"/>
        <w:numPr>
          <w:ilvl w:val="1"/>
          <w:numId w:val="3"/>
        </w:numPr>
        <w:jc w:val="both"/>
        <w:rPr>
          <w:rFonts w:ascii="Arial" w:hAnsi="Arial" w:cs="Arial"/>
          <w:lang w:val="et-EE"/>
        </w:rPr>
      </w:pPr>
      <w:r w:rsidRPr="00A77737">
        <w:rPr>
          <w:rFonts w:ascii="Arial" w:hAnsi="Arial" w:cs="Arial"/>
          <w:lang w:val="et-EE"/>
        </w:rPr>
        <w:t xml:space="preserve">kinnitust, et asjakohasel juhul on arvestatud Euroopa Parlamendi ja nõukogu direktiiviga (EL) 2022/2555, mis käsitleb meetmeid, millega tagada küberturvalisuse ühtlaselt kõrge tase kogu liidus, ja millega muudetakse määrust (EL) nr 910/2014 ja direktiivi (EL) 2018/1972 ning tunnistatakse kehtetuks direktiiv (EL) 2016/1148, artikli 21 lõikes 2 loetletud meetmeid; </w:t>
      </w:r>
    </w:p>
    <w:p w:rsidRPr="00A77737" w:rsidR="001410E5" w:rsidP="00AD6F5E" w:rsidRDefault="001410E5" w14:paraId="6A7BD60F" w14:textId="3611FBE6">
      <w:pPr>
        <w:pStyle w:val="ListParagraph"/>
        <w:numPr>
          <w:ilvl w:val="1"/>
          <w:numId w:val="3"/>
        </w:numPr>
        <w:jc w:val="both"/>
        <w:rPr>
          <w:rFonts w:ascii="Arial" w:hAnsi="Arial" w:cs="Arial"/>
          <w:lang w:val="et-EE"/>
        </w:rPr>
      </w:pPr>
      <w:r w:rsidRPr="00A77737">
        <w:rPr>
          <w:rFonts w:ascii="Arial" w:hAnsi="Arial" w:cs="Arial"/>
          <w:lang w:val="et-EE"/>
        </w:rPr>
        <w:t xml:space="preserve">peamiste plaanitavate IKT-toodete tarnijate ja IKT-teenuste osutajate loetelu; </w:t>
      </w:r>
    </w:p>
    <w:p w:rsidRPr="00A77737" w:rsidR="001410E5" w:rsidP="00AD6F5E" w:rsidRDefault="001410E5" w14:paraId="2BCFE12E" w14:textId="19358A94">
      <w:pPr>
        <w:pStyle w:val="ListParagraph"/>
        <w:numPr>
          <w:ilvl w:val="1"/>
          <w:numId w:val="3"/>
        </w:numPr>
        <w:jc w:val="both"/>
        <w:rPr>
          <w:rFonts w:ascii="Arial" w:hAnsi="Arial" w:cs="Arial"/>
          <w:lang w:val="et-EE"/>
        </w:rPr>
      </w:pPr>
      <w:r w:rsidRPr="00A77737">
        <w:rPr>
          <w:rFonts w:ascii="Arial" w:hAnsi="Arial" w:cs="Arial"/>
          <w:lang w:val="et-EE"/>
        </w:rPr>
        <w:t xml:space="preserve">kinnitust, et asjakohased </w:t>
      </w:r>
      <w:proofErr w:type="spellStart"/>
      <w:r w:rsidRPr="00A77737">
        <w:rPr>
          <w:rFonts w:ascii="Arial" w:hAnsi="Arial" w:cs="Arial"/>
          <w:lang w:val="et-EE"/>
        </w:rPr>
        <w:t>küberturbe</w:t>
      </w:r>
      <w:proofErr w:type="spellEnd"/>
      <w:r w:rsidRPr="00A77737">
        <w:rPr>
          <w:rFonts w:ascii="Arial" w:hAnsi="Arial" w:cs="Arial"/>
          <w:lang w:val="et-EE"/>
        </w:rPr>
        <w:t xml:space="preserve">- ja andmeturbemeetmed kehtivad ka peamistele tarnijatele; </w:t>
      </w:r>
    </w:p>
    <w:p w:rsidRPr="00A77737" w:rsidR="003C2014" w:rsidP="00AD6F5E" w:rsidRDefault="001410E5" w14:paraId="54A67259" w14:textId="298CCA31">
      <w:pPr>
        <w:pStyle w:val="ListParagraph"/>
        <w:numPr>
          <w:ilvl w:val="1"/>
          <w:numId w:val="3"/>
        </w:numPr>
        <w:contextualSpacing w:val="0"/>
        <w:jc w:val="both"/>
        <w:rPr>
          <w:rFonts w:ascii="Arial" w:hAnsi="Arial" w:cs="Arial"/>
          <w:lang w:val="et-EE"/>
        </w:rPr>
      </w:pPr>
      <w:r w:rsidRPr="00A77737">
        <w:rPr>
          <w:rFonts w:ascii="Arial" w:hAnsi="Arial" w:cs="Arial"/>
          <w:lang w:val="et-EE"/>
        </w:rPr>
        <w:t>kavandatava käitaja nime, asukohariiki ja kirjeldust, kuidas operatiivne kontroll säilib Euroopa Majanduspiirkonnas.</w:t>
      </w:r>
    </w:p>
    <w:p w:rsidRPr="00A77737" w:rsidR="00D000C0" w:rsidP="00D000C0" w:rsidRDefault="00D000C0" w14:paraId="66160217" w14:textId="77777777">
      <w:pPr>
        <w:pStyle w:val="ListParagraph"/>
        <w:numPr>
          <w:ilvl w:val="0"/>
          <w:numId w:val="3"/>
        </w:numPr>
        <w:contextualSpacing w:val="0"/>
        <w:jc w:val="both"/>
        <w:rPr>
          <w:rFonts w:ascii="Arial" w:hAnsi="Arial" w:cs="Arial"/>
          <w:lang w:val="et-EE"/>
        </w:rPr>
      </w:pPr>
      <w:r w:rsidRPr="00A77737">
        <w:rPr>
          <w:rFonts w:ascii="Arial" w:hAnsi="Arial" w:cs="Arial"/>
          <w:lang w:val="et-EE"/>
        </w:rPr>
        <w:t xml:space="preserve">Pakkuja kinnitab, et sõlmib IKT-tarnijatega deklaratsioonid, milles kajastub info, tarnija kohaldumisest rakendusmääruse art 5(b) riskitingimuse suhtes ning ajakohasel juhul kinnitus, et tarnija rakendab rakendusmääruse artikli 5(b) lisameetmeid. Lisaks kinnitus, et tarnija rakendab rakendusmääruse artikli 5(a) meetmeid. </w:t>
      </w:r>
    </w:p>
    <w:p w:rsidRPr="00A77737" w:rsidR="002E273E" w:rsidP="00730424" w:rsidRDefault="00FE7A25" w14:paraId="4F8211C2" w14:textId="73561C37">
      <w:pPr>
        <w:pStyle w:val="ListParagraph"/>
        <w:numPr>
          <w:ilvl w:val="0"/>
          <w:numId w:val="3"/>
        </w:numPr>
        <w:contextualSpacing w:val="0"/>
        <w:jc w:val="both"/>
        <w:rPr>
          <w:rFonts w:ascii="Arial" w:hAnsi="Arial" w:cs="Arial"/>
          <w:lang w:val="et-EE"/>
        </w:rPr>
      </w:pPr>
      <w:r w:rsidRPr="00A77737">
        <w:rPr>
          <w:rFonts w:ascii="Arial" w:hAnsi="Arial" w:cs="Arial"/>
          <w:lang w:val="et-EE"/>
        </w:rPr>
        <w:lastRenderedPageBreak/>
        <w:t xml:space="preserve">Pakkuja </w:t>
      </w:r>
      <w:r w:rsidRPr="00A77737" w:rsidR="00E47F81">
        <w:rPr>
          <w:rFonts w:ascii="Arial" w:hAnsi="Arial" w:cs="Arial"/>
          <w:lang w:val="et-EE"/>
        </w:rPr>
        <w:t>kinnitab, et pakkuja või m</w:t>
      </w:r>
      <w:r w:rsidRPr="00A77737" w:rsidR="007B1E4C">
        <w:rPr>
          <w:rFonts w:ascii="Arial" w:hAnsi="Arial" w:cs="Arial"/>
          <w:lang w:val="et-EE"/>
        </w:rPr>
        <w:t>õni peamine IKT-tarnija ei kuulu kol</w:t>
      </w:r>
      <w:r w:rsidRPr="00A77737" w:rsidR="00C404CF">
        <w:rPr>
          <w:rFonts w:ascii="Arial" w:hAnsi="Arial" w:cs="Arial"/>
          <w:lang w:val="et-EE"/>
        </w:rPr>
        <w:t>manda riigi jurisdiktsiooni alla, mille suhtes kohaldub rakendusmääruse artikkel 5(b)</w:t>
      </w:r>
      <w:r w:rsidRPr="00A77737" w:rsidR="00070F9B">
        <w:rPr>
          <w:rFonts w:ascii="Arial" w:hAnsi="Arial" w:cs="Arial"/>
          <w:lang w:val="et-EE"/>
        </w:rPr>
        <w:t>:</w:t>
      </w:r>
      <w:r w:rsidRPr="00A77737" w:rsidR="002E273E">
        <w:rPr>
          <w:rFonts w:ascii="Arial" w:hAnsi="Arial" w:cs="Arial"/>
          <w:lang w:val="et-EE"/>
        </w:rPr>
        <w:t xml:space="preserve"> </w:t>
      </w:r>
      <w:r w:rsidRPr="00A77737" w:rsidR="002E273E">
        <w:rPr>
          <w:rFonts w:ascii="Arial" w:hAnsi="Arial" w:cs="Arial"/>
          <w:highlight w:val="yellow"/>
          <w:lang w:val="et-EE"/>
        </w:rPr>
        <w:t>jah/ei</w:t>
      </w:r>
    </w:p>
    <w:p w:rsidRPr="00A77737" w:rsidR="00730424" w:rsidP="00AD6F5E" w:rsidRDefault="002E273E" w14:paraId="6D61C4F8" w14:textId="49855102">
      <w:pPr>
        <w:pStyle w:val="ListParagraph"/>
        <w:ind w:left="397"/>
        <w:contextualSpacing w:val="0"/>
        <w:jc w:val="both"/>
        <w:rPr>
          <w:rFonts w:ascii="Arial" w:hAnsi="Arial" w:cs="Arial"/>
          <w:lang w:val="et-EE"/>
        </w:rPr>
      </w:pPr>
      <w:r w:rsidRPr="00A77737">
        <w:rPr>
          <w:rFonts w:ascii="Arial" w:hAnsi="Arial" w:cs="Arial"/>
          <w:lang w:val="et-EE"/>
        </w:rPr>
        <w:t>Kui eelnev kinnitus puudub,</w:t>
      </w:r>
      <w:r w:rsidRPr="00A77737" w:rsidR="008B2A50">
        <w:rPr>
          <w:rFonts w:ascii="Arial" w:hAnsi="Arial" w:cs="Arial"/>
          <w:lang w:val="et-EE"/>
        </w:rPr>
        <w:t xml:space="preserve"> esitab pakkuja täiendava info</w:t>
      </w:r>
      <w:r w:rsidRPr="00A77737" w:rsidR="00036284">
        <w:rPr>
          <w:rFonts w:ascii="Arial" w:hAnsi="Arial" w:cs="Arial"/>
          <w:lang w:val="et-EE"/>
        </w:rPr>
        <w:t xml:space="preserve">, </w:t>
      </w:r>
      <w:r w:rsidRPr="00A77737" w:rsidR="00CF0AFA">
        <w:rPr>
          <w:rFonts w:ascii="Arial" w:hAnsi="Arial" w:cs="Arial"/>
          <w:lang w:val="et-EE"/>
        </w:rPr>
        <w:t xml:space="preserve">mis sisaldab vähemalt: </w:t>
      </w:r>
    </w:p>
    <w:p w:rsidRPr="00AD6F5E" w:rsidR="00730424" w:rsidP="00132C7C" w:rsidRDefault="00132C7C" w14:paraId="0E9E77AF" w14:textId="1EC8F7A3">
      <w:pPr>
        <w:pStyle w:val="ListParagraph"/>
        <w:numPr>
          <w:ilvl w:val="0"/>
          <w:numId w:val="7"/>
        </w:numPr>
        <w:jc w:val="both"/>
        <w:rPr>
          <w:rFonts w:ascii="Arial" w:hAnsi="Arial" w:cs="Arial"/>
          <w:lang w:val="et-EE"/>
        </w:rPr>
      </w:pPr>
      <w:r w:rsidRPr="00AD6F5E">
        <w:rPr>
          <w:rFonts w:ascii="Arial" w:hAnsi="Arial" w:cs="Arial"/>
          <w:lang w:val="et-EE"/>
        </w:rPr>
        <w:t>kuidas tagatakse rajatise ja kogu süsteemi turvalisus;</w:t>
      </w:r>
    </w:p>
    <w:p w:rsidRPr="00A77737" w:rsidR="00CF0AFA" w:rsidP="00AD6F5E" w:rsidRDefault="00CF0AFA" w14:paraId="35442AAE" w14:textId="25F47E76">
      <w:pPr>
        <w:pStyle w:val="ListParagraph"/>
        <w:numPr>
          <w:ilvl w:val="0"/>
          <w:numId w:val="7"/>
        </w:numPr>
        <w:jc w:val="both"/>
        <w:rPr>
          <w:rFonts w:ascii="Arial" w:hAnsi="Arial" w:cs="Arial"/>
          <w:lang w:val="et-EE"/>
        </w:rPr>
      </w:pPr>
      <w:r w:rsidRPr="00A77737">
        <w:rPr>
          <w:rFonts w:ascii="Arial" w:hAnsi="Arial" w:cs="Arial"/>
          <w:lang w:val="et-EE"/>
        </w:rPr>
        <w:t>kuidas tagatakse, et asjaomase äritegevusega seotud andmeid säilitatakse Euroopa Majanduspiirkonnas;</w:t>
      </w:r>
    </w:p>
    <w:p w:rsidRPr="00A77737" w:rsidR="00CF0AFA" w:rsidP="00AD6F5E" w:rsidRDefault="00CF0AFA" w14:paraId="13262324" w14:textId="2FA43333">
      <w:pPr>
        <w:pStyle w:val="ListParagraph"/>
        <w:numPr>
          <w:ilvl w:val="0"/>
          <w:numId w:val="7"/>
        </w:numPr>
        <w:jc w:val="both"/>
        <w:rPr>
          <w:rFonts w:ascii="Arial" w:hAnsi="Arial" w:cs="Arial"/>
          <w:lang w:val="et-EE"/>
        </w:rPr>
      </w:pPr>
      <w:r w:rsidRPr="00A77737">
        <w:rPr>
          <w:rFonts w:ascii="Arial" w:hAnsi="Arial" w:cs="Arial"/>
          <w:lang w:val="et-EE"/>
        </w:rPr>
        <w:t>kuidas tagatakse, et neid andmeid ei edastata väljapoole Euroopa Majanduspiirkonda;</w:t>
      </w:r>
    </w:p>
    <w:p w:rsidRPr="00A77737" w:rsidR="00CF0AFA" w:rsidP="00AD6F5E" w:rsidRDefault="00CF0AFA" w14:paraId="391ECBF5" w14:textId="494CFAEA">
      <w:pPr>
        <w:pStyle w:val="ListParagraph"/>
        <w:numPr>
          <w:ilvl w:val="0"/>
          <w:numId w:val="7"/>
        </w:numPr>
        <w:jc w:val="both"/>
        <w:rPr>
          <w:rFonts w:ascii="Arial" w:hAnsi="Arial" w:cs="Arial"/>
          <w:lang w:val="et-EE"/>
        </w:rPr>
      </w:pPr>
      <w:r w:rsidRPr="00A77737">
        <w:rPr>
          <w:rFonts w:ascii="Arial" w:hAnsi="Arial" w:cs="Arial"/>
          <w:lang w:val="et-EE"/>
        </w:rPr>
        <w:t>millised tehnilised ja korralduslikud piirangud seda tagavad;</w:t>
      </w:r>
    </w:p>
    <w:p w:rsidRPr="00A77737" w:rsidR="00CF0AFA" w:rsidP="00AD6F5E" w:rsidRDefault="00CF0AFA" w14:paraId="6D835277" w14:textId="2942BADD">
      <w:pPr>
        <w:pStyle w:val="ListParagraph"/>
        <w:numPr>
          <w:ilvl w:val="0"/>
          <w:numId w:val="7"/>
        </w:numPr>
        <w:jc w:val="both"/>
        <w:rPr>
          <w:rFonts w:ascii="Arial" w:hAnsi="Arial" w:cs="Arial"/>
          <w:lang w:val="et-EE"/>
        </w:rPr>
      </w:pPr>
      <w:r w:rsidRPr="00A77737">
        <w:rPr>
          <w:rFonts w:ascii="Arial" w:hAnsi="Arial" w:cs="Arial"/>
          <w:lang w:val="et-EE"/>
        </w:rPr>
        <w:t>andmete asukoha ja juurdepääsu kirjeldus, st</w:t>
      </w:r>
    </w:p>
    <w:p w:rsidRPr="00A77737" w:rsidR="00CF0AFA" w:rsidP="00AD6F5E" w:rsidRDefault="00CF0AFA" w14:paraId="61FF7E9D" w14:textId="000775F9">
      <w:pPr>
        <w:pStyle w:val="ListParagraph"/>
        <w:numPr>
          <w:ilvl w:val="0"/>
          <w:numId w:val="7"/>
        </w:numPr>
        <w:jc w:val="both"/>
        <w:rPr>
          <w:rFonts w:ascii="Arial" w:hAnsi="Arial" w:cs="Arial"/>
          <w:lang w:val="et-EE"/>
        </w:rPr>
      </w:pPr>
      <w:r w:rsidRPr="00A77737">
        <w:rPr>
          <w:rFonts w:ascii="Arial" w:hAnsi="Arial" w:cs="Arial"/>
          <w:lang w:val="et-EE"/>
        </w:rPr>
        <w:t>kus andmeid hoitakse;</w:t>
      </w:r>
    </w:p>
    <w:p w:rsidRPr="00A77737" w:rsidR="00CF0AFA" w:rsidP="00AD6F5E" w:rsidRDefault="00CF0AFA" w14:paraId="21A92FB8" w14:textId="39458216">
      <w:pPr>
        <w:pStyle w:val="ListParagraph"/>
        <w:numPr>
          <w:ilvl w:val="0"/>
          <w:numId w:val="7"/>
        </w:numPr>
        <w:jc w:val="both"/>
        <w:rPr>
          <w:rFonts w:ascii="Arial" w:hAnsi="Arial" w:cs="Arial"/>
          <w:lang w:val="et-EE"/>
        </w:rPr>
      </w:pPr>
      <w:r w:rsidRPr="00A77737">
        <w:rPr>
          <w:rFonts w:ascii="Arial" w:hAnsi="Arial" w:cs="Arial"/>
          <w:lang w:val="et-EE"/>
        </w:rPr>
        <w:t>kellel on juurdepääs;</w:t>
      </w:r>
    </w:p>
    <w:p w:rsidRPr="00A77737" w:rsidR="00CF0AFA" w:rsidP="00AD6F5E" w:rsidRDefault="00CF0AFA" w14:paraId="729861C9" w14:textId="6B5F6EDA">
      <w:pPr>
        <w:pStyle w:val="ListParagraph"/>
        <w:numPr>
          <w:ilvl w:val="0"/>
          <w:numId w:val="7"/>
        </w:numPr>
        <w:jc w:val="both"/>
        <w:rPr>
          <w:rFonts w:ascii="Arial" w:hAnsi="Arial" w:cs="Arial"/>
          <w:lang w:val="et-EE"/>
        </w:rPr>
      </w:pPr>
      <w:r w:rsidRPr="00A77737">
        <w:rPr>
          <w:rFonts w:ascii="Arial" w:hAnsi="Arial" w:cs="Arial"/>
          <w:lang w:val="et-EE"/>
        </w:rPr>
        <w:t>kas</w:t>
      </w:r>
      <w:r w:rsidR="005D5B5E">
        <w:rPr>
          <w:rFonts w:ascii="Arial" w:hAnsi="Arial" w:cs="Arial"/>
          <w:lang w:val="et-EE"/>
        </w:rPr>
        <w:t xml:space="preserve"> </w:t>
      </w:r>
      <w:proofErr w:type="spellStart"/>
      <w:r w:rsidRPr="00A77737">
        <w:rPr>
          <w:rFonts w:ascii="Arial" w:hAnsi="Arial" w:cs="Arial"/>
          <w:lang w:val="et-EE"/>
        </w:rPr>
        <w:t>kaugjuurdepääs</w:t>
      </w:r>
      <w:proofErr w:type="spellEnd"/>
      <w:r w:rsidRPr="00A77737">
        <w:rPr>
          <w:rFonts w:ascii="Arial" w:hAnsi="Arial" w:cs="Arial"/>
          <w:lang w:val="et-EE"/>
        </w:rPr>
        <w:t xml:space="preserve"> või kaugjuhtimine väljastpoolt Euroopa Majanduspiirkonda on võimalik;</w:t>
      </w:r>
    </w:p>
    <w:p w:rsidRPr="00AD6F5E" w:rsidR="00CF0AFA" w:rsidP="00AD6F5E" w:rsidRDefault="00CF0AFA" w14:paraId="48994885" w14:textId="1B6BB552">
      <w:pPr>
        <w:pStyle w:val="ListParagraph"/>
        <w:numPr>
          <w:ilvl w:val="0"/>
          <w:numId w:val="7"/>
        </w:numPr>
        <w:contextualSpacing w:val="0"/>
        <w:jc w:val="both"/>
        <w:rPr>
          <w:rFonts w:ascii="Arial" w:hAnsi="Arial" w:cs="Arial"/>
          <w:lang w:val="et-EE"/>
        </w:rPr>
      </w:pPr>
      <w:r w:rsidRPr="00A77737">
        <w:rPr>
          <w:rFonts w:ascii="Arial" w:hAnsi="Arial" w:cs="Arial"/>
          <w:lang w:val="et-EE"/>
        </w:rPr>
        <w:t>kuidas see on piiratud või välistatud.</w:t>
      </w:r>
    </w:p>
    <w:p w:rsidRPr="00AD6F5E" w:rsidR="002B222D" w:rsidP="00AD6F5E" w:rsidRDefault="00776587" w14:paraId="7E542E35" w14:textId="426049AC">
      <w:pPr>
        <w:jc w:val="both"/>
        <w:rPr>
          <w:rFonts w:ascii="Arial" w:hAnsi="Arial" w:cs="Arial"/>
          <w:lang w:val="et-EE"/>
        </w:rPr>
      </w:pPr>
      <w:r w:rsidRPr="00A77737">
        <w:rPr>
          <w:rFonts w:ascii="Arial" w:hAnsi="Arial" w:cs="Arial"/>
          <w:lang w:val="et-EE"/>
        </w:rPr>
        <w:t>5</w:t>
      </w:r>
      <w:r w:rsidRPr="00A77737" w:rsidR="00F5722A">
        <w:rPr>
          <w:rFonts w:ascii="Arial" w:hAnsi="Arial" w:cs="Arial"/>
          <w:lang w:val="et-EE"/>
        </w:rPr>
        <w:t>.</w:t>
      </w:r>
      <w:r w:rsidRPr="00A77737" w:rsidR="3EAEE0A5">
        <w:rPr>
          <w:rFonts w:ascii="Arial" w:hAnsi="Arial" w:cs="Arial"/>
          <w:lang w:val="et-EE"/>
        </w:rPr>
        <w:t xml:space="preserve"> </w:t>
      </w:r>
      <w:r w:rsidRPr="00A77737" w:rsidR="00F5722A">
        <w:rPr>
          <w:rFonts w:ascii="Arial" w:hAnsi="Arial" w:cs="Arial"/>
          <w:lang w:val="et-EE"/>
        </w:rPr>
        <w:t>Pakkuja kinnitab</w:t>
      </w:r>
      <w:r w:rsidRPr="00A77737" w:rsidR="00D645BF">
        <w:rPr>
          <w:rFonts w:ascii="Arial" w:hAnsi="Arial" w:cs="Arial"/>
          <w:lang w:val="et-EE"/>
        </w:rPr>
        <w:t>, et</w:t>
      </w:r>
      <w:r w:rsidRPr="00A77737" w:rsidR="0028628C">
        <w:rPr>
          <w:rFonts w:ascii="Arial" w:hAnsi="Arial" w:cs="Arial"/>
          <w:lang w:val="et-EE"/>
        </w:rPr>
        <w:t xml:space="preserve"> </w:t>
      </w:r>
      <w:r w:rsidRPr="00AD6F5E" w:rsidR="00F5722A">
        <w:rPr>
          <w:rFonts w:ascii="Arial" w:hAnsi="Arial" w:cs="Arial"/>
          <w:lang w:val="et-EE"/>
        </w:rPr>
        <w:t xml:space="preserve">ajakohastab </w:t>
      </w:r>
      <w:r w:rsidRPr="00AD6F5E" w:rsidR="0044660E">
        <w:rPr>
          <w:rFonts w:ascii="Arial" w:hAnsi="Arial" w:cs="Arial"/>
          <w:lang w:val="et-EE"/>
        </w:rPr>
        <w:t xml:space="preserve">punktis 2 kirjeldatud </w:t>
      </w:r>
      <w:r w:rsidRPr="00AD6F5E" w:rsidR="00852819">
        <w:rPr>
          <w:rFonts w:ascii="Arial" w:hAnsi="Arial" w:cs="Arial"/>
          <w:lang w:val="et-EE"/>
        </w:rPr>
        <w:t xml:space="preserve">küberturvalisuse </w:t>
      </w:r>
      <w:r w:rsidRPr="00AD6F5E" w:rsidR="00F5722A">
        <w:rPr>
          <w:rFonts w:ascii="Arial" w:hAnsi="Arial" w:cs="Arial"/>
          <w:lang w:val="et-EE"/>
        </w:rPr>
        <w:t>kava</w:t>
      </w:r>
      <w:r w:rsidRPr="00AD6F5E" w:rsidR="00B718BD">
        <w:rPr>
          <w:rFonts w:ascii="Arial" w:hAnsi="Arial" w:cs="Arial"/>
          <w:lang w:val="et-EE"/>
        </w:rPr>
        <w:t xml:space="preserve"> </w:t>
      </w:r>
      <w:r w:rsidRPr="00AD6F5E" w:rsidR="00F5722A">
        <w:rPr>
          <w:rFonts w:ascii="Arial" w:hAnsi="Arial" w:cs="Arial"/>
          <w:lang w:val="et-EE"/>
        </w:rPr>
        <w:t>projekti rakendamise ajal</w:t>
      </w:r>
      <w:r w:rsidRPr="00AD6F5E" w:rsidR="00B718BD">
        <w:rPr>
          <w:rFonts w:ascii="Arial" w:hAnsi="Arial" w:cs="Arial"/>
          <w:lang w:val="et-EE"/>
        </w:rPr>
        <w:t xml:space="preserve"> </w:t>
      </w:r>
      <w:r w:rsidRPr="00AD6F5E" w:rsidR="00F5722A">
        <w:rPr>
          <w:rFonts w:ascii="Arial" w:hAnsi="Arial" w:cs="Arial"/>
          <w:lang w:val="et-EE"/>
        </w:rPr>
        <w:t>regulaarselt</w:t>
      </w:r>
      <w:r w:rsidRPr="00AD6F5E" w:rsidR="00337340">
        <w:rPr>
          <w:rFonts w:ascii="Arial" w:hAnsi="Arial" w:cs="Arial"/>
          <w:lang w:val="et-EE"/>
        </w:rPr>
        <w:t>, olulise muudatuse korral viivitamata</w:t>
      </w:r>
      <w:r w:rsidRPr="00AD6F5E" w:rsidR="00765874">
        <w:rPr>
          <w:rFonts w:ascii="Arial" w:hAnsi="Arial" w:cs="Arial"/>
          <w:lang w:val="et-EE"/>
        </w:rPr>
        <w:t>,</w:t>
      </w:r>
      <w:r w:rsidRPr="00AD6F5E" w:rsidR="00F5722A">
        <w:rPr>
          <w:rFonts w:ascii="Arial" w:hAnsi="Arial" w:cs="Arial"/>
          <w:lang w:val="et-EE"/>
        </w:rPr>
        <w:t xml:space="preserve"> ning on teadlik, et on kohustatud esitama kava</w:t>
      </w:r>
      <w:r w:rsidRPr="00AD6F5E" w:rsidR="00F675A8">
        <w:rPr>
          <w:rFonts w:ascii="Arial" w:hAnsi="Arial" w:cs="Arial"/>
          <w:lang w:val="et-EE"/>
        </w:rPr>
        <w:t xml:space="preserve"> </w:t>
      </w:r>
      <w:r w:rsidRPr="00AD6F5E" w:rsidR="00B74A7C">
        <w:rPr>
          <w:rFonts w:ascii="Arial" w:hAnsi="Arial" w:cs="Arial"/>
          <w:lang w:val="et-EE"/>
        </w:rPr>
        <w:t xml:space="preserve">Elering AS-ile </w:t>
      </w:r>
      <w:r w:rsidRPr="00AD6F5E" w:rsidR="00F675A8">
        <w:rPr>
          <w:rFonts w:ascii="Arial" w:hAnsi="Arial" w:cs="Arial"/>
          <w:lang w:val="et-EE"/>
        </w:rPr>
        <w:t xml:space="preserve">enne toetusperioodi algust ning </w:t>
      </w:r>
      <w:r w:rsidRPr="00AD6F5E" w:rsidR="00DC295D">
        <w:rPr>
          <w:rFonts w:ascii="Arial" w:hAnsi="Arial" w:cs="Arial"/>
          <w:lang w:val="et-EE"/>
        </w:rPr>
        <w:t xml:space="preserve">muul ajal </w:t>
      </w:r>
      <w:r w:rsidRPr="00AD6F5E" w:rsidR="00F5722A">
        <w:rPr>
          <w:rFonts w:ascii="Arial" w:hAnsi="Arial" w:cs="Arial"/>
          <w:lang w:val="et-EE"/>
        </w:rPr>
        <w:t>Elering</w:t>
      </w:r>
      <w:r w:rsidRPr="00AD6F5E" w:rsidR="00B74A7C">
        <w:rPr>
          <w:rFonts w:ascii="Arial" w:hAnsi="Arial" w:cs="Arial"/>
          <w:lang w:val="et-EE"/>
        </w:rPr>
        <w:t xml:space="preserve"> AS-i</w:t>
      </w:r>
      <w:r w:rsidRPr="00AD6F5E" w:rsidR="00F5722A">
        <w:rPr>
          <w:rFonts w:ascii="Arial" w:hAnsi="Arial" w:cs="Arial"/>
          <w:lang w:val="et-EE"/>
        </w:rPr>
        <w:t xml:space="preserve"> nõudmisel. </w:t>
      </w:r>
    </w:p>
    <w:p w:rsidRPr="00AD6F5E" w:rsidR="00051BAF" w:rsidP="00AD6F5E" w:rsidRDefault="00051BAF" w14:paraId="3E0F6323" w14:textId="77777777">
      <w:pPr>
        <w:jc w:val="both"/>
        <w:rPr>
          <w:rFonts w:ascii="Arial" w:hAnsi="Arial" w:cs="Arial"/>
          <w:lang w:val="et-EE"/>
        </w:rPr>
      </w:pPr>
    </w:p>
    <w:p w:rsidRPr="00A77737" w:rsidR="00D863A7" w:rsidP="00D863A7" w:rsidRDefault="00D863A7" w14:paraId="3DDA643C" w14:textId="77777777">
      <w:pPr>
        <w:jc w:val="both"/>
        <w:rPr>
          <w:rFonts w:ascii="Arial" w:hAnsi="Arial" w:cs="Arial"/>
          <w:lang w:val="et-EE"/>
        </w:rPr>
      </w:pPr>
    </w:p>
    <w:p w:rsidRPr="00A77737" w:rsidR="00D863A7" w:rsidP="00D863A7" w:rsidRDefault="00D863A7" w14:paraId="56F2AECC" w14:textId="77777777">
      <w:pPr>
        <w:jc w:val="both"/>
        <w:rPr>
          <w:rFonts w:ascii="Arial" w:hAnsi="Arial" w:cs="Arial"/>
          <w:lang w:val="et-EE"/>
        </w:rPr>
      </w:pPr>
    </w:p>
    <w:p w:rsidRPr="00AD6F5E" w:rsidR="009433A5" w:rsidP="00AD6F5E" w:rsidRDefault="00D863A7" w14:paraId="5AC0721F" w14:textId="68D6D351">
      <w:pPr>
        <w:jc w:val="both"/>
        <w:rPr>
          <w:rFonts w:ascii="Arial" w:hAnsi="Arial" w:cs="Arial"/>
          <w:lang w:val="et-EE"/>
        </w:rPr>
      </w:pPr>
      <w:r w:rsidRPr="00A77737">
        <w:rPr>
          <w:rFonts w:ascii="Arial" w:hAnsi="Arial" w:cs="Arial"/>
          <w:lang w:val="et-EE"/>
        </w:rPr>
        <w:t>/Allkirjastatud digitaalselt pakkuja(te) esindaja poolt/</w:t>
      </w:r>
    </w:p>
    <w:sectPr w:rsidRPr="00AD6F5E" w:rsidR="009433A5" w:rsidSect="005E7C20">
      <w:headerReference w:type="even" r:id="rId12"/>
      <w:headerReference w:type="default" r:id="rId13"/>
      <w:footerReference w:type="even" r:id="rId14"/>
      <w:footerReference w:type="default" r:id="rId15"/>
      <w:headerReference w:type="first" r:id="rId16"/>
      <w:footerReference w:type="first" r:id="rId17"/>
      <w:pgSz w:w="11900" w:h="16840" w:orient="portrait"/>
      <w:pgMar w:top="2363" w:right="1910" w:bottom="1440" w:left="1170" w:header="624"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20A" w:rsidP="00C673B3" w:rsidRDefault="00C0720A" w14:paraId="32331984" w14:textId="77777777">
      <w:pPr>
        <w:spacing w:after="0" w:line="240" w:lineRule="auto"/>
      </w:pPr>
      <w:r>
        <w:separator/>
      </w:r>
    </w:p>
  </w:endnote>
  <w:endnote w:type="continuationSeparator" w:id="0">
    <w:p w:rsidR="00C0720A" w:rsidP="00C673B3" w:rsidRDefault="00C0720A" w14:paraId="15AAFC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ktaMahee Regular">
    <w:altName w:val="Times New Roman"/>
    <w:charset w:val="4D"/>
    <w:family w:val="auto"/>
    <w:pitch w:val="variable"/>
    <w:sig w:usb0="00000001" w:usb1="4000204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20" w:rsidRDefault="005E7C20" w14:paraId="5BAB9B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E7C20" w:rsidR="0054066F" w:rsidP="00EC72B8" w:rsidRDefault="005E7C20" w14:paraId="743B355F" w14:textId="57C654BC">
    <w:pPr>
      <w:pStyle w:val="Footer"/>
      <w:rPr>
        <w:rFonts w:ascii="Arial" w:hAnsi="Arial" w:cs="Arial"/>
        <w:color w:val="000000" w:themeColor="text1"/>
        <w:sz w:val="20"/>
        <w:szCs w:val="20"/>
      </w:rPr>
    </w:pPr>
    <w:r>
      <w:rPr>
        <w:rFonts w:ascii="MuktaMahee Regular" w:hAnsi="MuktaMahee Regular" w:cs="MuktaMahee Regular"/>
        <w:noProof/>
        <w:sz w:val="18"/>
        <w:szCs w:val="18"/>
      </w:rPr>
      <w:drawing>
        <wp:anchor distT="0" distB="0" distL="114300" distR="114300" simplePos="0" relativeHeight="251658242" behindDoc="0" locked="0" layoutInCell="1" allowOverlap="1" wp14:anchorId="5A303D1E" wp14:editId="10F65428">
          <wp:simplePos x="0" y="0"/>
          <wp:positionH relativeFrom="column">
            <wp:posOffset>5131630</wp:posOffset>
          </wp:positionH>
          <wp:positionV relativeFrom="paragraph">
            <wp:posOffset>-8255</wp:posOffset>
          </wp:positionV>
          <wp:extent cx="1257300" cy="681394"/>
          <wp:effectExtent l="0" t="0" r="0" b="4445"/>
          <wp:wrapNone/>
          <wp:docPr id="14417780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55225" name="Picture 879255225"/>
                  <pic:cNvPicPr/>
                </pic:nvPicPr>
                <pic:blipFill>
                  <a:blip r:embed="rId1">
                    <a:extLst>
                      <a:ext uri="{28A0092B-C50C-407E-A947-70E740481C1C}">
                        <a14:useLocalDpi xmlns:a14="http://schemas.microsoft.com/office/drawing/2010/main" val="0"/>
                      </a:ext>
                    </a:extLst>
                  </a:blip>
                  <a:stretch>
                    <a:fillRect/>
                  </a:stretch>
                </pic:blipFill>
                <pic:spPr>
                  <a:xfrm>
                    <a:off x="0" y="0"/>
                    <a:ext cx="1257300" cy="681394"/>
                  </a:xfrm>
                  <a:prstGeom prst="rect">
                    <a:avLst/>
                  </a:prstGeom>
                </pic:spPr>
              </pic:pic>
            </a:graphicData>
          </a:graphic>
          <wp14:sizeRelH relativeFrom="page">
            <wp14:pctWidth>0</wp14:pctWidth>
          </wp14:sizeRelH>
          <wp14:sizeRelV relativeFrom="page">
            <wp14:pctHeight>0</wp14:pctHeight>
          </wp14:sizeRelV>
        </wp:anchor>
      </w:drawing>
    </w:r>
    <w:r w:rsidRPr="005E7C20" w:rsidR="00A25C5B">
      <w:rPr>
        <w:rFonts w:ascii="Arial" w:hAnsi="Arial" w:cs="Arial"/>
        <w:color w:val="000000" w:themeColor="text1"/>
        <w:sz w:val="20"/>
        <w:szCs w:val="20"/>
      </w:rPr>
      <w:t xml:space="preserve"> </w:t>
    </w:r>
  </w:p>
  <w:p w:rsidRPr="005E7C20" w:rsidR="00EC72B8" w:rsidP="00EC72B8" w:rsidRDefault="00EC72B8" w14:paraId="4D87CCAF" w14:textId="77000075">
    <w:pPr>
      <w:pStyle w:val="Footer"/>
      <w:spacing w:line="168" w:lineRule="auto"/>
      <w:rPr>
        <w:rFonts w:ascii="MuktaMahee Regular" w:hAnsi="MuktaMahee Regular" w:cs="MuktaMahee Regula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20" w:rsidRDefault="005E7C20" w14:paraId="2C83EB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20A" w:rsidP="00C673B3" w:rsidRDefault="00C0720A" w14:paraId="35A203E1" w14:textId="77777777">
      <w:pPr>
        <w:spacing w:after="0" w:line="240" w:lineRule="auto"/>
      </w:pPr>
      <w:r>
        <w:separator/>
      </w:r>
    </w:p>
  </w:footnote>
  <w:footnote w:type="continuationSeparator" w:id="0">
    <w:p w:rsidR="00C0720A" w:rsidP="00C673B3" w:rsidRDefault="00C0720A" w14:paraId="59470F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20" w:rsidRDefault="005E7C20" w14:paraId="304CD1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73B3" w:rsidP="00C673B3" w:rsidRDefault="005E7C20" w14:paraId="2C901D75" w14:textId="2328BB47">
    <w:pPr>
      <w:pStyle w:val="Header"/>
      <w:ind w:right="-540"/>
      <w:jc w:val="right"/>
    </w:pPr>
    <w:r>
      <w:rPr>
        <w:rFonts w:ascii="MuktaMahee Regular" w:hAnsi="MuktaMahee Regular" w:cs="MuktaMahee Regular"/>
        <w:noProof/>
        <w:sz w:val="18"/>
        <w:szCs w:val="18"/>
      </w:rPr>
      <w:drawing>
        <wp:anchor distT="0" distB="0" distL="114300" distR="114300" simplePos="0" relativeHeight="251658241" behindDoc="0" locked="0" layoutInCell="1" allowOverlap="1" wp14:anchorId="0AC342C2" wp14:editId="4499C67E">
          <wp:simplePos x="0" y="0"/>
          <wp:positionH relativeFrom="column">
            <wp:posOffset>4342960</wp:posOffset>
          </wp:positionH>
          <wp:positionV relativeFrom="paragraph">
            <wp:posOffset>3810</wp:posOffset>
          </wp:positionV>
          <wp:extent cx="2009775" cy="1089198"/>
          <wp:effectExtent l="0" t="0" r="0" b="3175"/>
          <wp:wrapNone/>
          <wp:docPr id="8792552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55225" name="Picture 879255225"/>
                  <pic:cNvPicPr/>
                </pic:nvPicPr>
                <pic:blipFill>
                  <a:blip r:embed="rId1">
                    <a:extLst>
                      <a:ext uri="{28A0092B-C50C-407E-A947-70E740481C1C}">
                        <a14:useLocalDpi xmlns:a14="http://schemas.microsoft.com/office/drawing/2010/main" val="0"/>
                      </a:ext>
                    </a:extLst>
                  </a:blip>
                  <a:stretch>
                    <a:fillRect/>
                  </a:stretch>
                </pic:blipFill>
                <pic:spPr>
                  <a:xfrm>
                    <a:off x="0" y="0"/>
                    <a:ext cx="2009775" cy="1089198"/>
                  </a:xfrm>
                  <a:prstGeom prst="rect">
                    <a:avLst/>
                  </a:prstGeom>
                </pic:spPr>
              </pic:pic>
            </a:graphicData>
          </a:graphic>
          <wp14:sizeRelH relativeFrom="page">
            <wp14:pctWidth>0</wp14:pctWidth>
          </wp14:sizeRelH>
          <wp14:sizeRelV relativeFrom="page">
            <wp14:pctHeight>0</wp14:pctHeight>
          </wp14:sizeRelV>
        </wp:anchor>
      </w:drawing>
    </w:r>
    <w:r w:rsidR="00EC72B8">
      <w:rPr>
        <w:rFonts w:ascii="MuktaMahee Regular" w:hAnsi="MuktaMahee Regular" w:cs="MuktaMahee Regular"/>
        <w:noProof/>
        <w:sz w:val="18"/>
        <w:szCs w:val="18"/>
      </w:rPr>
      <w:drawing>
        <wp:anchor distT="0" distB="0" distL="114300" distR="114300" simplePos="0" relativeHeight="251658240" behindDoc="1" locked="0" layoutInCell="1" allowOverlap="1" wp14:anchorId="7BED4392" wp14:editId="5A60B85F">
          <wp:simplePos x="0" y="0"/>
          <wp:positionH relativeFrom="column">
            <wp:posOffset>-880717</wp:posOffset>
          </wp:positionH>
          <wp:positionV relativeFrom="paragraph">
            <wp:posOffset>-561009</wp:posOffset>
          </wp:positionV>
          <wp:extent cx="7734300" cy="10944393"/>
          <wp:effectExtent l="0" t="0" r="0" b="3175"/>
          <wp:wrapNone/>
          <wp:docPr id="377213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377" name="Picture 37721377"/>
                  <pic:cNvPicPr/>
                </pic:nvPicPr>
                <pic:blipFill>
                  <a:blip r:embed="rId2">
                    <a:extLst>
                      <a:ext uri="{28A0092B-C50C-407E-A947-70E740481C1C}">
                        <a14:useLocalDpi xmlns:a14="http://schemas.microsoft.com/office/drawing/2010/main" val="0"/>
                      </a:ext>
                    </a:extLst>
                  </a:blip>
                  <a:stretch>
                    <a:fillRect/>
                  </a:stretch>
                </pic:blipFill>
                <pic:spPr>
                  <a:xfrm>
                    <a:off x="0" y="0"/>
                    <a:ext cx="7734300" cy="109443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20" w:rsidRDefault="005E7C20" w14:paraId="7C24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071"/>
    <w:multiLevelType w:val="hybridMultilevel"/>
    <w:tmpl w:val="93549032"/>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05F9565E"/>
    <w:multiLevelType w:val="multilevel"/>
    <w:tmpl w:val="5504055C"/>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801820"/>
    <w:multiLevelType w:val="hybridMultilevel"/>
    <w:tmpl w:val="6434BC22"/>
    <w:lvl w:ilvl="0" w:tplc="04250001">
      <w:start w:val="1"/>
      <w:numFmt w:val="bullet"/>
      <w:lvlText w:val=""/>
      <w:lvlJc w:val="left"/>
      <w:pPr>
        <w:ind w:left="1080" w:hanging="360"/>
      </w:pPr>
      <w:rPr>
        <w:rFonts w:hint="default" w:ascii="Symbol" w:hAnsi="Symbol"/>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3" w15:restartNumberingAfterBreak="0">
    <w:nsid w:val="51E74EAD"/>
    <w:multiLevelType w:val="hybridMultilevel"/>
    <w:tmpl w:val="3A84477E"/>
    <w:lvl w:ilvl="0" w:tplc="2326C61C">
      <w:start w:val="1"/>
      <w:numFmt w:val="decimal"/>
      <w:lvlText w:val="%1."/>
      <w:lvlJc w:val="left"/>
      <w:pPr>
        <w:tabs>
          <w:tab w:val="num" w:pos="397"/>
        </w:tabs>
        <w:ind w:left="397" w:hanging="397"/>
      </w:pPr>
      <w:rPr>
        <w:rFonts w:hint="default"/>
      </w:rPr>
    </w:lvl>
    <w:lvl w:ilvl="1" w:tplc="54245224">
      <w:start w:val="1"/>
      <w:numFmt w:val="decimal"/>
      <w:lvlText w:val="2.%2."/>
      <w:lvlJc w:val="left"/>
      <w:pPr>
        <w:tabs>
          <w:tab w:val="num" w:pos="680"/>
        </w:tabs>
        <w:ind w:left="964" w:hanging="567"/>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4E6471D"/>
    <w:multiLevelType w:val="hybridMultilevel"/>
    <w:tmpl w:val="7AA48824"/>
    <w:lvl w:ilvl="0" w:tplc="4AFCFCD2">
      <w:start w:val="1"/>
      <w:numFmt w:val="decimal"/>
      <w:lvlText w:val="4.%1."/>
      <w:lvlJc w:val="left"/>
      <w:pPr>
        <w:tabs>
          <w:tab w:val="num" w:pos="680"/>
        </w:tabs>
        <w:ind w:left="964"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6827CAA"/>
    <w:multiLevelType w:val="hybridMultilevel"/>
    <w:tmpl w:val="144AB3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3A92888"/>
    <w:multiLevelType w:val="multilevel"/>
    <w:tmpl w:val="80689B74"/>
    <w:lvl w:ilvl="0">
      <w:start w:val="2"/>
      <w:numFmt w:val="decimal"/>
      <w:lvlText w:val="%1."/>
      <w:lvlJc w:val="left"/>
      <w:pPr>
        <w:ind w:left="360" w:hanging="360"/>
      </w:pPr>
      <w:rPr>
        <w:rFonts w:hint="default"/>
        <w:b/>
        <w:bCs/>
      </w:rPr>
    </w:lvl>
    <w:lvl w:ilvl="1">
      <w:start w:val="1"/>
      <w:numFmt w:val="decimal"/>
      <w:lvlText w:val="%1.%2."/>
      <w:lvlJc w:val="left"/>
      <w:pPr>
        <w:ind w:left="567" w:hanging="567"/>
      </w:pPr>
      <w:rPr>
        <w:rFonts w:hint="default"/>
        <w:b/>
        <w:bCs/>
      </w:rPr>
    </w:lvl>
    <w:lvl w:ilvl="2">
      <w:start w:val="1"/>
      <w:numFmt w:val="decimal"/>
      <w:lvlText w:val="%1.%2.%3."/>
      <w:lvlJc w:val="left"/>
      <w:pPr>
        <w:ind w:left="851" w:hanging="567"/>
      </w:pPr>
      <w:rPr>
        <w:rFonts w:hint="default"/>
        <w:b/>
        <w:bCs/>
      </w:rPr>
    </w:lvl>
    <w:lvl w:ilvl="3">
      <w:start w:val="1"/>
      <w:numFmt w:val="decimal"/>
      <w:lvlText w:val="%1.%2.%3.%4."/>
      <w:lvlJc w:val="left"/>
      <w:pPr>
        <w:ind w:left="1728" w:hanging="877"/>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7756718">
    <w:abstractNumId w:val="2"/>
  </w:num>
  <w:num w:numId="2" w16cid:durableId="787822521">
    <w:abstractNumId w:val="6"/>
  </w:num>
  <w:num w:numId="3" w16cid:durableId="2137327854">
    <w:abstractNumId w:val="3"/>
  </w:num>
  <w:num w:numId="4" w16cid:durableId="1971587562">
    <w:abstractNumId w:val="5"/>
  </w:num>
  <w:num w:numId="5" w16cid:durableId="112213670">
    <w:abstractNumId w:val="1"/>
  </w:num>
  <w:num w:numId="6" w16cid:durableId="1577781811">
    <w:abstractNumId w:val="0"/>
  </w:num>
  <w:num w:numId="7" w16cid:durableId="118918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B3"/>
    <w:rsid w:val="00021182"/>
    <w:rsid w:val="00024F05"/>
    <w:rsid w:val="000321B8"/>
    <w:rsid w:val="00036284"/>
    <w:rsid w:val="00051BAF"/>
    <w:rsid w:val="00067BA9"/>
    <w:rsid w:val="00070F9B"/>
    <w:rsid w:val="00077132"/>
    <w:rsid w:val="0009063D"/>
    <w:rsid w:val="000A26B9"/>
    <w:rsid w:val="000B09C9"/>
    <w:rsid w:val="00101F74"/>
    <w:rsid w:val="00127687"/>
    <w:rsid w:val="00131920"/>
    <w:rsid w:val="00132C7C"/>
    <w:rsid w:val="001410E5"/>
    <w:rsid w:val="001B3052"/>
    <w:rsid w:val="001C4C69"/>
    <w:rsid w:val="001D13A9"/>
    <w:rsid w:val="001D3D0A"/>
    <w:rsid w:val="00204429"/>
    <w:rsid w:val="00214FFF"/>
    <w:rsid w:val="0022309B"/>
    <w:rsid w:val="00251C30"/>
    <w:rsid w:val="00253696"/>
    <w:rsid w:val="002627E4"/>
    <w:rsid w:val="00281006"/>
    <w:rsid w:val="0028628C"/>
    <w:rsid w:val="00290062"/>
    <w:rsid w:val="002A7360"/>
    <w:rsid w:val="002B222D"/>
    <w:rsid w:val="002D0221"/>
    <w:rsid w:val="002E273E"/>
    <w:rsid w:val="002E3BFC"/>
    <w:rsid w:val="002F74B6"/>
    <w:rsid w:val="002F784A"/>
    <w:rsid w:val="00307456"/>
    <w:rsid w:val="00323F4D"/>
    <w:rsid w:val="00331E7A"/>
    <w:rsid w:val="00337340"/>
    <w:rsid w:val="00340548"/>
    <w:rsid w:val="00344AA0"/>
    <w:rsid w:val="003534C8"/>
    <w:rsid w:val="003628A3"/>
    <w:rsid w:val="00365FFD"/>
    <w:rsid w:val="0037196A"/>
    <w:rsid w:val="00387A4B"/>
    <w:rsid w:val="00390620"/>
    <w:rsid w:val="0039088F"/>
    <w:rsid w:val="003A1E7D"/>
    <w:rsid w:val="003C2014"/>
    <w:rsid w:val="003D4228"/>
    <w:rsid w:val="003F1197"/>
    <w:rsid w:val="003F32B0"/>
    <w:rsid w:val="003F3E20"/>
    <w:rsid w:val="00424D4C"/>
    <w:rsid w:val="0042503D"/>
    <w:rsid w:val="004302AD"/>
    <w:rsid w:val="004305C5"/>
    <w:rsid w:val="00437DB1"/>
    <w:rsid w:val="0044660E"/>
    <w:rsid w:val="00455638"/>
    <w:rsid w:val="00483246"/>
    <w:rsid w:val="00484788"/>
    <w:rsid w:val="00492B85"/>
    <w:rsid w:val="004A526E"/>
    <w:rsid w:val="005056B6"/>
    <w:rsid w:val="00510506"/>
    <w:rsid w:val="00516320"/>
    <w:rsid w:val="0054066F"/>
    <w:rsid w:val="0055186F"/>
    <w:rsid w:val="005B537C"/>
    <w:rsid w:val="005C7EB6"/>
    <w:rsid w:val="005D57BF"/>
    <w:rsid w:val="005D5B5E"/>
    <w:rsid w:val="005E7C20"/>
    <w:rsid w:val="005F7834"/>
    <w:rsid w:val="006178BC"/>
    <w:rsid w:val="00635E26"/>
    <w:rsid w:val="0064737B"/>
    <w:rsid w:val="00651629"/>
    <w:rsid w:val="00664F46"/>
    <w:rsid w:val="00667623"/>
    <w:rsid w:val="006852D3"/>
    <w:rsid w:val="006A3BEA"/>
    <w:rsid w:val="006A7DEF"/>
    <w:rsid w:val="006B6F5A"/>
    <w:rsid w:val="006B7A30"/>
    <w:rsid w:val="006E77A5"/>
    <w:rsid w:val="00700B96"/>
    <w:rsid w:val="00720FA4"/>
    <w:rsid w:val="00730424"/>
    <w:rsid w:val="00743C3F"/>
    <w:rsid w:val="0076458C"/>
    <w:rsid w:val="00765874"/>
    <w:rsid w:val="00776587"/>
    <w:rsid w:val="00791735"/>
    <w:rsid w:val="00795103"/>
    <w:rsid w:val="007A74C9"/>
    <w:rsid w:val="007B1E4C"/>
    <w:rsid w:val="00806F20"/>
    <w:rsid w:val="0081185B"/>
    <w:rsid w:val="00813098"/>
    <w:rsid w:val="00840DA3"/>
    <w:rsid w:val="00841657"/>
    <w:rsid w:val="00852819"/>
    <w:rsid w:val="00857560"/>
    <w:rsid w:val="008B13B2"/>
    <w:rsid w:val="008B2A50"/>
    <w:rsid w:val="008B2BBC"/>
    <w:rsid w:val="00906592"/>
    <w:rsid w:val="009433A5"/>
    <w:rsid w:val="009557F5"/>
    <w:rsid w:val="00957201"/>
    <w:rsid w:val="009A5628"/>
    <w:rsid w:val="009B478C"/>
    <w:rsid w:val="009C676F"/>
    <w:rsid w:val="009E4336"/>
    <w:rsid w:val="00A059C3"/>
    <w:rsid w:val="00A13874"/>
    <w:rsid w:val="00A25C5B"/>
    <w:rsid w:val="00A26D30"/>
    <w:rsid w:val="00A42685"/>
    <w:rsid w:val="00A46166"/>
    <w:rsid w:val="00A54B50"/>
    <w:rsid w:val="00A77737"/>
    <w:rsid w:val="00A87B87"/>
    <w:rsid w:val="00A87C5D"/>
    <w:rsid w:val="00AB1D7C"/>
    <w:rsid w:val="00AD6F5E"/>
    <w:rsid w:val="00AD7113"/>
    <w:rsid w:val="00AE1499"/>
    <w:rsid w:val="00B145DD"/>
    <w:rsid w:val="00B203BB"/>
    <w:rsid w:val="00B41093"/>
    <w:rsid w:val="00B532FD"/>
    <w:rsid w:val="00B718BD"/>
    <w:rsid w:val="00B733DE"/>
    <w:rsid w:val="00B74A7C"/>
    <w:rsid w:val="00B75BE8"/>
    <w:rsid w:val="00B876A9"/>
    <w:rsid w:val="00B95988"/>
    <w:rsid w:val="00BA1B37"/>
    <w:rsid w:val="00BC15B1"/>
    <w:rsid w:val="00BE4634"/>
    <w:rsid w:val="00C0720A"/>
    <w:rsid w:val="00C211C5"/>
    <w:rsid w:val="00C37CA1"/>
    <w:rsid w:val="00C404CF"/>
    <w:rsid w:val="00C614A7"/>
    <w:rsid w:val="00C65F5E"/>
    <w:rsid w:val="00C666E0"/>
    <w:rsid w:val="00C673B3"/>
    <w:rsid w:val="00C73DE9"/>
    <w:rsid w:val="00C92625"/>
    <w:rsid w:val="00C9465E"/>
    <w:rsid w:val="00C95B17"/>
    <w:rsid w:val="00CA1F2C"/>
    <w:rsid w:val="00CF0AFA"/>
    <w:rsid w:val="00D000C0"/>
    <w:rsid w:val="00D007A5"/>
    <w:rsid w:val="00D22D69"/>
    <w:rsid w:val="00D41008"/>
    <w:rsid w:val="00D6163E"/>
    <w:rsid w:val="00D645BF"/>
    <w:rsid w:val="00D863A7"/>
    <w:rsid w:val="00DA764E"/>
    <w:rsid w:val="00DC295D"/>
    <w:rsid w:val="00DD0AFC"/>
    <w:rsid w:val="00E34352"/>
    <w:rsid w:val="00E376FD"/>
    <w:rsid w:val="00E47F81"/>
    <w:rsid w:val="00E723D7"/>
    <w:rsid w:val="00E741A1"/>
    <w:rsid w:val="00E97764"/>
    <w:rsid w:val="00EB58C9"/>
    <w:rsid w:val="00EC4259"/>
    <w:rsid w:val="00EC49D0"/>
    <w:rsid w:val="00EC72B8"/>
    <w:rsid w:val="00ED6DE1"/>
    <w:rsid w:val="00ED77F2"/>
    <w:rsid w:val="00EE260D"/>
    <w:rsid w:val="00F10F59"/>
    <w:rsid w:val="00F35ED1"/>
    <w:rsid w:val="00F5722A"/>
    <w:rsid w:val="00F66B22"/>
    <w:rsid w:val="00F675A8"/>
    <w:rsid w:val="00FB6FC3"/>
    <w:rsid w:val="00FB79F2"/>
    <w:rsid w:val="00FE7A25"/>
    <w:rsid w:val="00FF2925"/>
    <w:rsid w:val="0427347F"/>
    <w:rsid w:val="0883B857"/>
    <w:rsid w:val="145D7BB4"/>
    <w:rsid w:val="1E4B23F3"/>
    <w:rsid w:val="1F3363D2"/>
    <w:rsid w:val="23F87C42"/>
    <w:rsid w:val="2850A4F5"/>
    <w:rsid w:val="28B754B8"/>
    <w:rsid w:val="29DC6E7E"/>
    <w:rsid w:val="3952F3B6"/>
    <w:rsid w:val="39E05344"/>
    <w:rsid w:val="3EAEE0A5"/>
    <w:rsid w:val="49F9F59E"/>
    <w:rsid w:val="4B3D7C2C"/>
    <w:rsid w:val="517BBB80"/>
    <w:rsid w:val="5D8296DA"/>
    <w:rsid w:val="65F4AAFF"/>
    <w:rsid w:val="68371DFA"/>
    <w:rsid w:val="739B7B40"/>
    <w:rsid w:val="79FE3A2B"/>
    <w:rsid w:val="7A05A95F"/>
    <w:rsid w:val="7FE2E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A65A"/>
  <w15:chartTrackingRefBased/>
  <w15:docId w15:val="{94A09767-769E-4283-BC94-A345988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73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3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3B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73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673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673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673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673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673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673B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673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673B3"/>
    <w:rPr>
      <w:rFonts w:eastAsiaTheme="majorEastAsia" w:cstheme="majorBidi"/>
      <w:color w:val="272727" w:themeColor="text1" w:themeTint="D8"/>
    </w:rPr>
  </w:style>
  <w:style w:type="paragraph" w:styleId="Title">
    <w:name w:val="Title"/>
    <w:basedOn w:val="Normal"/>
    <w:next w:val="Normal"/>
    <w:link w:val="TitleChar"/>
    <w:uiPriority w:val="10"/>
    <w:qFormat/>
    <w:rsid w:val="00C673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73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673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67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3B3"/>
    <w:pPr>
      <w:spacing w:before="160"/>
      <w:jc w:val="center"/>
    </w:pPr>
    <w:rPr>
      <w:i/>
      <w:iCs/>
      <w:color w:val="404040" w:themeColor="text1" w:themeTint="BF"/>
    </w:rPr>
  </w:style>
  <w:style w:type="character" w:styleId="QuoteChar" w:customStyle="1">
    <w:name w:val="Quote Char"/>
    <w:basedOn w:val="DefaultParagraphFont"/>
    <w:link w:val="Quote"/>
    <w:uiPriority w:val="29"/>
    <w:rsid w:val="00C673B3"/>
    <w:rPr>
      <w:i/>
      <w:iCs/>
      <w:color w:val="404040" w:themeColor="text1" w:themeTint="BF"/>
    </w:rPr>
  </w:style>
  <w:style w:type="paragraph" w:styleId="ListParagraph">
    <w:name w:val="List Paragraph"/>
    <w:basedOn w:val="Normal"/>
    <w:uiPriority w:val="34"/>
    <w:qFormat/>
    <w:rsid w:val="00C673B3"/>
    <w:pPr>
      <w:ind w:left="720"/>
      <w:contextualSpacing/>
    </w:pPr>
  </w:style>
  <w:style w:type="character" w:styleId="IntenseEmphasis">
    <w:name w:val="Intense Emphasis"/>
    <w:basedOn w:val="DefaultParagraphFont"/>
    <w:uiPriority w:val="21"/>
    <w:qFormat/>
    <w:rsid w:val="00C673B3"/>
    <w:rPr>
      <w:i/>
      <w:iCs/>
      <w:color w:val="0F4761" w:themeColor="accent1" w:themeShade="BF"/>
    </w:rPr>
  </w:style>
  <w:style w:type="paragraph" w:styleId="IntenseQuote">
    <w:name w:val="Intense Quote"/>
    <w:basedOn w:val="Normal"/>
    <w:next w:val="Normal"/>
    <w:link w:val="IntenseQuoteChar"/>
    <w:uiPriority w:val="30"/>
    <w:qFormat/>
    <w:rsid w:val="00C673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673B3"/>
    <w:rPr>
      <w:i/>
      <w:iCs/>
      <w:color w:val="0F4761" w:themeColor="accent1" w:themeShade="BF"/>
    </w:rPr>
  </w:style>
  <w:style w:type="character" w:styleId="IntenseReference">
    <w:name w:val="Intense Reference"/>
    <w:basedOn w:val="DefaultParagraphFont"/>
    <w:uiPriority w:val="32"/>
    <w:qFormat/>
    <w:rsid w:val="00C673B3"/>
    <w:rPr>
      <w:b/>
      <w:bCs/>
      <w:smallCaps/>
      <w:color w:val="0F4761" w:themeColor="accent1" w:themeShade="BF"/>
      <w:spacing w:val="5"/>
    </w:rPr>
  </w:style>
  <w:style w:type="paragraph" w:styleId="Header">
    <w:name w:val="header"/>
    <w:basedOn w:val="Normal"/>
    <w:link w:val="HeaderChar"/>
    <w:uiPriority w:val="99"/>
    <w:unhideWhenUsed/>
    <w:rsid w:val="00C673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673B3"/>
  </w:style>
  <w:style w:type="paragraph" w:styleId="Footer">
    <w:name w:val="footer"/>
    <w:basedOn w:val="Normal"/>
    <w:link w:val="FooterChar"/>
    <w:uiPriority w:val="99"/>
    <w:unhideWhenUsed/>
    <w:rsid w:val="00C673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673B3"/>
  </w:style>
  <w:style w:type="character" w:styleId="Hyperlink">
    <w:name w:val="Hyperlink"/>
    <w:basedOn w:val="DefaultParagraphFont"/>
    <w:uiPriority w:val="99"/>
    <w:unhideWhenUsed/>
    <w:rsid w:val="00EC72B8"/>
    <w:rPr>
      <w:color w:val="467886" w:themeColor="hyperlink"/>
      <w:u w:val="single"/>
    </w:rPr>
  </w:style>
  <w:style w:type="character" w:styleId="UnresolvedMention">
    <w:name w:val="Unresolved Mention"/>
    <w:basedOn w:val="DefaultParagraphFont"/>
    <w:uiPriority w:val="99"/>
    <w:semiHidden/>
    <w:unhideWhenUsed/>
    <w:rsid w:val="00EC72B8"/>
    <w:rPr>
      <w:color w:val="605E5C"/>
      <w:shd w:val="clear" w:color="auto" w:fill="E1DFDD"/>
    </w:rPr>
  </w:style>
  <w:style w:type="character" w:styleId="CommentReference">
    <w:name w:val="annotation reference"/>
    <w:basedOn w:val="DefaultParagraphFont"/>
    <w:uiPriority w:val="99"/>
    <w:semiHidden/>
    <w:unhideWhenUsed/>
    <w:rsid w:val="00795103"/>
    <w:rPr>
      <w:sz w:val="16"/>
      <w:szCs w:val="16"/>
    </w:rPr>
  </w:style>
  <w:style w:type="paragraph" w:styleId="CommentText">
    <w:name w:val="annotation text"/>
    <w:basedOn w:val="Normal"/>
    <w:link w:val="CommentTextChar"/>
    <w:uiPriority w:val="99"/>
    <w:unhideWhenUsed/>
    <w:rsid w:val="00795103"/>
    <w:pPr>
      <w:spacing w:line="240" w:lineRule="auto"/>
    </w:pPr>
    <w:rPr>
      <w:sz w:val="20"/>
      <w:szCs w:val="20"/>
    </w:rPr>
  </w:style>
  <w:style w:type="character" w:styleId="CommentTextChar" w:customStyle="1">
    <w:name w:val="Comment Text Char"/>
    <w:basedOn w:val="DefaultParagraphFont"/>
    <w:link w:val="CommentText"/>
    <w:uiPriority w:val="99"/>
    <w:rsid w:val="00795103"/>
    <w:rPr>
      <w:sz w:val="20"/>
      <w:szCs w:val="20"/>
    </w:rPr>
  </w:style>
  <w:style w:type="paragraph" w:styleId="CommentSubject">
    <w:name w:val="annotation subject"/>
    <w:basedOn w:val="CommentText"/>
    <w:next w:val="CommentText"/>
    <w:link w:val="CommentSubjectChar"/>
    <w:uiPriority w:val="99"/>
    <w:semiHidden/>
    <w:unhideWhenUsed/>
    <w:rsid w:val="00795103"/>
    <w:rPr>
      <w:b/>
      <w:bCs/>
    </w:rPr>
  </w:style>
  <w:style w:type="character" w:styleId="CommentSubjectChar" w:customStyle="1">
    <w:name w:val="Comment Subject Char"/>
    <w:basedOn w:val="CommentTextChar"/>
    <w:link w:val="CommentSubject"/>
    <w:uiPriority w:val="99"/>
    <w:semiHidden/>
    <w:rsid w:val="00795103"/>
    <w:rPr>
      <w:b/>
      <w:bCs/>
      <w:sz w:val="20"/>
      <w:szCs w:val="20"/>
    </w:rPr>
  </w:style>
  <w:style w:type="paragraph" w:styleId="Revision">
    <w:name w:val="Revision"/>
    <w:hidden/>
    <w:uiPriority w:val="99"/>
    <w:semiHidden/>
    <w:rsid w:val="00A13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378">
      <w:bodyDiv w:val="1"/>
      <w:marLeft w:val="0"/>
      <w:marRight w:val="0"/>
      <w:marTop w:val="0"/>
      <w:marBottom w:val="0"/>
      <w:divBdr>
        <w:top w:val="none" w:sz="0" w:space="0" w:color="auto"/>
        <w:left w:val="none" w:sz="0" w:space="0" w:color="auto"/>
        <w:bottom w:val="none" w:sz="0" w:space="0" w:color="auto"/>
        <w:right w:val="none" w:sz="0" w:space="0" w:color="auto"/>
      </w:divBdr>
    </w:div>
    <w:div w:id="8540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ET/ALL/?uri=CELEX:32025R1176"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7C42AFDE88A40B5DE8F8C6561BF28" ma:contentTypeVersion="16" ma:contentTypeDescription="Create a new document." ma:contentTypeScope="" ma:versionID="c558be72b7a0ca472375b1082adc8623">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50166bfddfa57610d3809d3772757b58"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55084-1B01-4968-99D1-48A9FDA62272}">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customXml/itemProps2.xml><?xml version="1.0" encoding="utf-8"?>
<ds:datastoreItem xmlns:ds="http://schemas.openxmlformats.org/officeDocument/2006/customXml" ds:itemID="{6F769DC9-B632-4A81-AFDE-D18F158DB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f916-cf36-4815-8f59-066548a5c626"/>
    <ds:schemaRef ds:uri="76a396e9-683e-4e80-a146-12c21ed1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7F08D-570C-0846-A5BF-5E9077FE3F03}">
  <ds:schemaRefs>
    <ds:schemaRef ds:uri="http://schemas.openxmlformats.org/officeDocument/2006/bibliography"/>
  </ds:schemaRefs>
</ds:datastoreItem>
</file>

<file path=customXml/itemProps4.xml><?xml version="1.0" encoding="utf-8"?>
<ds:datastoreItem xmlns:ds="http://schemas.openxmlformats.org/officeDocument/2006/customXml" ds:itemID="{56D81F85-0454-47EC-8781-78743DC3C8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Madis Raidaru</dc:creator>
  <keywords/>
  <dc:description/>
  <lastModifiedBy>Krisli Kõrgesaar</lastModifiedBy>
  <revision>101</revision>
  <dcterms:created xsi:type="dcterms:W3CDTF">2026-03-12T12:06:00.0000000Z</dcterms:created>
  <dcterms:modified xsi:type="dcterms:W3CDTF">2026-03-20T06:04:57.1998483Z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Order">
    <vt:r8>125100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